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第二期</w:t>
      </w:r>
      <w:r>
        <w:rPr>
          <w:rFonts w:hint="eastAsia" w:ascii="黑体" w:hAnsi="黑体" w:eastAsia="黑体" w:cs="黑体"/>
          <w:sz w:val="32"/>
          <w:szCs w:val="32"/>
        </w:rPr>
        <w:t>ISW教学技能工作坊培训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 w:cs="黑体"/>
          <w:sz w:val="32"/>
          <w:szCs w:val="32"/>
        </w:rPr>
        <w:t>表</w:t>
      </w:r>
      <w:bookmarkEnd w:id="0"/>
    </w:p>
    <w:tbl>
      <w:tblPr>
        <w:tblStyle w:val="3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983"/>
        <w:gridCol w:w="993"/>
        <w:gridCol w:w="1843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77" w:type="dxa"/>
            <w:vMerge w:val="restart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77" w:type="dxa"/>
            <w:vMerge w:val="continue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98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学科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职级</w:t>
            </w:r>
          </w:p>
        </w:tc>
        <w:tc>
          <w:tcPr>
            <w:tcW w:w="184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（主要包括近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年授课情况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年教学评价结果。填表时此段可删除）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业绩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（主要包括近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年教学研究成果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教学竞赛和参与校内外师资培训事宜。填表时此段可删除）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说明</w:t>
            </w:r>
          </w:p>
        </w:tc>
        <w:tc>
          <w:tcPr>
            <w:tcW w:w="8930" w:type="dxa"/>
            <w:gridSpan w:val="6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（主要包括个人特色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对于教学培训工作的认识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是否有保质保量完成校内外培训任务的能力等。填表时此段可删除）</w:t>
            </w:r>
          </w:p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77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学院审核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bidi w:val="0"/>
              <w:spacing w:after="0"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800" w:right="1440" w:bottom="1800" w:left="144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00000000"/>
    <w:rsid w:val="228E27F6"/>
    <w:rsid w:val="28894B98"/>
    <w:rsid w:val="2FC506C8"/>
    <w:rsid w:val="48F93867"/>
    <w:rsid w:val="673D46BF"/>
    <w:rsid w:val="797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89</Characters>
  <Lines>0</Lines>
  <Paragraphs>0</Paragraphs>
  <TotalTime>0</TotalTime>
  <ScaleCrop>false</ScaleCrop>
  <LinksUpToDate>false</LinksUpToDate>
  <CharactersWithSpaces>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2024-03-14T00:42:00Z</dcterms:created>
  <dc:creator>Administrator</dc:creator>
  <cp:lastModifiedBy>1</cp:lastModifiedBy>
  <dcterms:modified xsi:type="dcterms:W3CDTF">2024-05-31T00:32:24Z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D3DED3060E9E4AC790D949E45B173CF2_12</vt:lpwstr>
  </property>
</Properties>
</file>