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68A9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jc w:val="left"/>
        <w:textAlignment w:val="auto"/>
        <w:rPr>
          <w:rFonts w:hint="default" w:ascii="Times New Roman" w:hAnsi="Times New Roman" w:eastAsia="黑体"/>
          <w:w w:val="100"/>
          <w:sz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lang w:val="en-US" w:eastAsia="zh-CN"/>
        </w:rPr>
        <w:t>附件</w:t>
      </w:r>
      <w:r>
        <w:rPr>
          <w:rFonts w:hint="eastAsia" w:ascii="Times New Roman" w:hAnsi="Times New Roman" w:eastAsia="黑体"/>
          <w:w w:val="100"/>
          <w:sz w:val="32"/>
          <w:lang w:val="en-US" w:eastAsia="zh-CN"/>
        </w:rPr>
        <w:t>1</w:t>
      </w:r>
    </w:p>
    <w:p w14:paraId="164EF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微课考核评分细则</w:t>
      </w:r>
    </w:p>
    <w:p w14:paraId="4CDF6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考核总分100分。8</w:t>
      </w:r>
      <w:r>
        <w:rPr>
          <w:rFonts w:hint="eastAsia" w:ascii="仿宋_GB2312" w:hAnsi="仿宋_GB2312" w:eastAsia="仿宋_GB2312" w:cs="仿宋_GB231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</w:rPr>
        <w:t>分（含）及以上可参评优秀，60—8</w:t>
      </w:r>
      <w:r>
        <w:rPr>
          <w:rFonts w:hint="eastAsia" w:ascii="仿宋_GB2312" w:hAnsi="仿宋_GB2312" w:eastAsia="仿宋_GB2312" w:cs="仿宋_GB231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</w:rPr>
        <w:t>分为合格，60分以下为不合格；优秀等次同时受本批次考核总人数2</w:t>
      </w:r>
      <w:r>
        <w:rPr>
          <w:rFonts w:hint="eastAsia" w:ascii="仿宋_GB2312" w:hAnsi="仿宋_GB2312" w:eastAsia="仿宋_GB2312" w:cs="仿宋_GB231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</w:rPr>
        <w:t>%比例上限限制，分数达标但超出比例上限的，考核等级调整为合格。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2211"/>
        <w:gridCol w:w="2211"/>
        <w:gridCol w:w="2211"/>
      </w:tblGrid>
      <w:tr w14:paraId="44647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tblHeader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4A1C3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sz w:val="21"/>
              </w:rPr>
              <w:t>一级指标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39270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sz w:val="21"/>
              </w:rPr>
              <w:t>权重</w:t>
            </w:r>
          </w:p>
        </w:tc>
        <w:tc>
          <w:tcPr>
            <w:tcW w:w="3515" w:type="dxa"/>
            <w:shd w:val="clear" w:color="auto" w:fill="D9D9D9"/>
            <w:vAlign w:val="center"/>
          </w:tcPr>
          <w:p w14:paraId="38145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sz w:val="21"/>
              </w:rPr>
              <w:t>二级评价要点</w:t>
            </w:r>
          </w:p>
        </w:tc>
        <w:tc>
          <w:tcPr>
            <w:tcW w:w="3515" w:type="dxa"/>
            <w:shd w:val="clear" w:color="auto" w:fill="D9D9D9"/>
            <w:vAlign w:val="center"/>
          </w:tcPr>
          <w:p w14:paraId="728EC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b/>
                <w:sz w:val="21"/>
              </w:rPr>
              <w:t>评分标准</w:t>
            </w:r>
          </w:p>
        </w:tc>
      </w:tr>
      <w:tr w14:paraId="51835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3" w:hRule="atLeast"/>
          <w:jc w:val="center"/>
        </w:trPr>
        <w:tc>
          <w:tcPr>
            <w:tcW w:w="1701" w:type="dxa"/>
            <w:vAlign w:val="center"/>
          </w:tcPr>
          <w:p w14:paraId="676BF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一、教学设计</w:t>
            </w:r>
          </w:p>
        </w:tc>
        <w:tc>
          <w:tcPr>
            <w:tcW w:w="850" w:type="dxa"/>
            <w:vAlign w:val="center"/>
          </w:tcPr>
          <w:p w14:paraId="19D89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2</w:t>
            </w: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0</w:t>
            </w:r>
            <w:r>
              <w:rPr>
                <w:rFonts w:ascii="Times New Roman" w:hAnsi="Times New Roman" w:eastAsia="仿宋"/>
                <w:sz w:val="21"/>
              </w:rPr>
              <w:t>分</w:t>
            </w:r>
          </w:p>
        </w:tc>
        <w:tc>
          <w:tcPr>
            <w:tcW w:w="3515" w:type="dxa"/>
            <w:vAlign w:val="center"/>
          </w:tcPr>
          <w:p w14:paraId="78281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1.教学目标明确，贴合课程标准与学情，重难点定位准确；</w:t>
            </w:r>
          </w:p>
          <w:p w14:paraId="1D3AE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2.教学环节完整，导入、新知讲授、课堂互动、课堂小结逻辑连贯；</w:t>
            </w:r>
          </w:p>
          <w:p w14:paraId="015F9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3.教学方法适配教学内容，体现以学生为中心理念；</w:t>
            </w:r>
          </w:p>
          <w:p w14:paraId="4B4D4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4.配套《教学设计方案》完整规范（中期重点考核）。</w:t>
            </w:r>
          </w:p>
        </w:tc>
        <w:tc>
          <w:tcPr>
            <w:tcW w:w="3515" w:type="dxa"/>
            <w:vAlign w:val="center"/>
          </w:tcPr>
          <w:p w14:paraId="2D445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15-20</w:t>
            </w:r>
            <w:r>
              <w:rPr>
                <w:rFonts w:ascii="Times New Roman" w:hAnsi="Times New Roman" w:eastAsia="仿宋"/>
                <w:sz w:val="21"/>
              </w:rPr>
              <w:t>分：教学设计科学完整，重难点突出，学生中心理念落实充分；</w:t>
            </w:r>
          </w:p>
          <w:p w14:paraId="49CA3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10-15</w:t>
            </w:r>
            <w:r>
              <w:rPr>
                <w:rFonts w:ascii="Times New Roman" w:hAnsi="Times New Roman" w:eastAsia="仿宋"/>
                <w:sz w:val="21"/>
              </w:rPr>
              <w:t>分：教学设计完整，重难点处理一般；</w:t>
            </w:r>
          </w:p>
          <w:p w14:paraId="2C18E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10</w:t>
            </w:r>
            <w:r>
              <w:rPr>
                <w:rFonts w:ascii="Times New Roman" w:hAnsi="Times New Roman" w:eastAsia="仿宋"/>
                <w:sz w:val="21"/>
              </w:rPr>
              <w:t>分及以下：教学环节缺失、目标模糊、配套材料缺项。</w:t>
            </w:r>
          </w:p>
        </w:tc>
      </w:tr>
      <w:tr w14:paraId="30311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5" w:hRule="atLeast"/>
          <w:jc w:val="center"/>
        </w:trPr>
        <w:tc>
          <w:tcPr>
            <w:tcW w:w="1701" w:type="dxa"/>
            <w:vAlign w:val="center"/>
          </w:tcPr>
          <w:p w14:paraId="37420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二、课堂教学实施</w:t>
            </w:r>
          </w:p>
        </w:tc>
        <w:tc>
          <w:tcPr>
            <w:tcW w:w="850" w:type="dxa"/>
            <w:vAlign w:val="center"/>
          </w:tcPr>
          <w:p w14:paraId="1D642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40分</w:t>
            </w:r>
          </w:p>
        </w:tc>
        <w:tc>
          <w:tcPr>
            <w:tcW w:w="3515" w:type="dxa"/>
            <w:vAlign w:val="center"/>
          </w:tcPr>
          <w:p w14:paraId="6AB72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1.普通话规范，语言流畅，授课节奏适宜；</w:t>
            </w:r>
          </w:p>
          <w:p w14:paraId="73F10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2.知识点讲授准确严谨，无知识性错误；</w:t>
            </w:r>
          </w:p>
          <w:p w14:paraId="66EE5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3.课堂设问引导合理，具备互动意识，时长控制在</w:t>
            </w: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12</w:t>
            </w:r>
            <w:r>
              <w:rPr>
                <w:rFonts w:ascii="Times New Roman" w:hAnsi="Times New Roman" w:eastAsia="仿宋"/>
                <w:sz w:val="21"/>
              </w:rPr>
              <w:t>—1</w:t>
            </w: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5</w:t>
            </w:r>
            <w:r>
              <w:rPr>
                <w:rFonts w:ascii="Times New Roman" w:hAnsi="Times New Roman" w:eastAsia="仿宋"/>
                <w:sz w:val="21"/>
              </w:rPr>
              <w:t>分钟；</w:t>
            </w:r>
          </w:p>
          <w:p w14:paraId="63C93E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4.教态仪表得体，PPT等教学资源排版规范。</w:t>
            </w:r>
          </w:p>
        </w:tc>
        <w:tc>
          <w:tcPr>
            <w:tcW w:w="3515" w:type="dxa"/>
            <w:vAlign w:val="center"/>
          </w:tcPr>
          <w:p w14:paraId="6B802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33—40分：讲授准确生动，互动设计合理，时间把控精准；</w:t>
            </w:r>
          </w:p>
          <w:p w14:paraId="69812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24—32分：知识点无错误，课堂互动偏弱，时间略有偏差；</w:t>
            </w:r>
          </w:p>
          <w:p w14:paraId="5151B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23分及以下：存在知识性错误、课堂逻辑混乱、时长严重偏离、教态严重不规范。</w:t>
            </w:r>
          </w:p>
        </w:tc>
      </w:tr>
      <w:tr w14:paraId="3DD33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30E21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三、教学素养与育人导向</w:t>
            </w:r>
          </w:p>
        </w:tc>
        <w:tc>
          <w:tcPr>
            <w:tcW w:w="850" w:type="dxa"/>
            <w:vAlign w:val="center"/>
          </w:tcPr>
          <w:p w14:paraId="0312E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20分</w:t>
            </w:r>
          </w:p>
        </w:tc>
        <w:tc>
          <w:tcPr>
            <w:tcW w:w="3515" w:type="dxa"/>
            <w:vAlign w:val="center"/>
          </w:tcPr>
          <w:p w14:paraId="2065F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1.落实立德树人根本任务，价值导向正确，适度开展价值引领；</w:t>
            </w:r>
          </w:p>
          <w:p w14:paraId="1BD32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2.教学案例贴合应用型本科学生培养特点；</w:t>
            </w:r>
          </w:p>
          <w:p w14:paraId="2FFB2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3.具备教学反思意识</w:t>
            </w:r>
          </w:p>
        </w:tc>
        <w:tc>
          <w:tcPr>
            <w:tcW w:w="3515" w:type="dxa"/>
            <w:vAlign w:val="center"/>
          </w:tcPr>
          <w:p w14:paraId="05B61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1</w:t>
            </w: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5</w:t>
            </w:r>
            <w:r>
              <w:rPr>
                <w:rFonts w:ascii="Times New Roman" w:hAnsi="Times New Roman" w:eastAsia="仿宋"/>
                <w:sz w:val="21"/>
              </w:rPr>
              <w:t>—20分：育人导向突出，案例贴切，反思深刻到位；</w:t>
            </w:r>
          </w:p>
          <w:p w14:paraId="2908E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1</w:t>
            </w: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0</w:t>
            </w:r>
            <w:r>
              <w:rPr>
                <w:rFonts w:ascii="Times New Roman" w:hAnsi="Times New Roman" w:eastAsia="仿宋"/>
                <w:sz w:val="21"/>
              </w:rPr>
              <w:t>—1</w:t>
            </w: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5</w:t>
            </w:r>
            <w:r>
              <w:rPr>
                <w:rFonts w:ascii="Times New Roman" w:hAnsi="Times New Roman" w:eastAsia="仿宋"/>
                <w:sz w:val="21"/>
              </w:rPr>
              <w:t>分：价值导向正确，育人元素融入不足，反思较浅显；</w:t>
            </w:r>
          </w:p>
          <w:p w14:paraId="04619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1</w:t>
            </w: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0</w:t>
            </w:r>
            <w:r>
              <w:rPr>
                <w:rFonts w:ascii="Times New Roman" w:hAnsi="Times New Roman" w:eastAsia="仿宋"/>
                <w:sz w:val="21"/>
              </w:rPr>
              <w:t>分及以下：价值导向存在偏差，缺少育人相关思考。</w:t>
            </w:r>
          </w:p>
        </w:tc>
      </w:tr>
      <w:tr w14:paraId="7104E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11E33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四、小组互评参考</w:t>
            </w:r>
          </w:p>
        </w:tc>
        <w:tc>
          <w:tcPr>
            <w:tcW w:w="850" w:type="dxa"/>
            <w:vAlign w:val="center"/>
          </w:tcPr>
          <w:p w14:paraId="3FE61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20</w:t>
            </w:r>
            <w:r>
              <w:rPr>
                <w:rFonts w:ascii="Times New Roman" w:hAnsi="Times New Roman" w:eastAsia="仿宋"/>
                <w:sz w:val="21"/>
              </w:rPr>
              <w:t>分</w:t>
            </w:r>
          </w:p>
        </w:tc>
        <w:tc>
          <w:tcPr>
            <w:tcW w:w="3515" w:type="dxa"/>
            <w:vAlign w:val="center"/>
          </w:tcPr>
          <w:p w14:paraId="392E6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参照同伴反馈要求，结合小组反馈意见，考察教师对培训要点的落实情况、全套提交材料完整性与小组互评参与度。</w:t>
            </w:r>
          </w:p>
        </w:tc>
        <w:tc>
          <w:tcPr>
            <w:tcW w:w="3515" w:type="dxa"/>
            <w:vAlign w:val="center"/>
          </w:tcPr>
          <w:p w14:paraId="40282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ascii="Times New Roman" w:hAnsi="Times New Roman" w:eastAsia="仿宋"/>
                <w:sz w:val="21"/>
              </w:rPr>
              <w:t>1</w:t>
            </w: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5</w:t>
            </w:r>
            <w:r>
              <w:rPr>
                <w:rFonts w:ascii="Times New Roman" w:hAnsi="Times New Roman" w:eastAsia="仿宋"/>
                <w:sz w:val="21"/>
              </w:rPr>
              <w:t>—</w:t>
            </w: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20</w:t>
            </w:r>
            <w:r>
              <w:rPr>
                <w:rFonts w:ascii="Times New Roman" w:hAnsi="Times New Roman" w:eastAsia="仿宋"/>
                <w:sz w:val="21"/>
              </w:rPr>
              <w:t>分：全套材料齐全，落实培训要求，小组反馈意见建设性强；</w:t>
            </w:r>
          </w:p>
          <w:p w14:paraId="731D9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10</w:t>
            </w:r>
            <w:r>
              <w:rPr>
                <w:rFonts w:ascii="Times New Roman" w:hAnsi="Times New Roman" w:eastAsia="仿宋"/>
                <w:sz w:val="21"/>
              </w:rPr>
              <w:t>—</w:t>
            </w: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15</w:t>
            </w:r>
            <w:r>
              <w:rPr>
                <w:rFonts w:ascii="Times New Roman" w:hAnsi="Times New Roman" w:eastAsia="仿宋"/>
                <w:sz w:val="21"/>
              </w:rPr>
              <w:t>分：材料齐全，但教学存在较多待改进问题；</w:t>
            </w:r>
          </w:p>
          <w:p w14:paraId="13B68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</w:pPr>
            <w:r>
              <w:rPr>
                <w:rFonts w:hint="eastAsia" w:ascii="Times New Roman" w:hAnsi="Times New Roman" w:eastAsia="仿宋"/>
                <w:sz w:val="21"/>
                <w:lang w:val="en-US" w:eastAsia="zh-CN"/>
              </w:rPr>
              <w:t>10</w:t>
            </w:r>
            <w:r>
              <w:rPr>
                <w:rFonts w:ascii="Times New Roman" w:hAnsi="Times New Roman" w:eastAsia="仿宋"/>
                <w:sz w:val="21"/>
              </w:rPr>
              <w:t>分及以下：材料缺失、视频录制不达标、拒不配合小组互评。</w:t>
            </w:r>
          </w:p>
        </w:tc>
      </w:tr>
    </w:tbl>
    <w:p w14:paraId="26FCD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 w14:paraId="41FBA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</w:rPr>
        <w:t>一票否决情形（直接判定考核不合格）：</w:t>
      </w:r>
    </w:p>
    <w:p w14:paraId="53813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1.微课视频弄虚作假，找人代录、剪辑拼接伪造授课过程；</w:t>
      </w:r>
    </w:p>
    <w:p w14:paraId="565CF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2.授课内容存在政治导向错误或重大知识性错误；</w:t>
      </w:r>
    </w:p>
    <w:p w14:paraId="5B7CD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3.无故不参加考核，拒不提交视频及配套材料；</w:t>
      </w:r>
    </w:p>
    <w:p w14:paraId="07AF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4.无正当理由拒不参与、拒不配合小组互评工作。</w:t>
      </w:r>
    </w:p>
    <w:p w14:paraId="0B09867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9C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+西文正文" w:hAnsi="+西文正文" w:eastAsia="仿宋_GB2312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2026-10-28T07:00:39Z</dcterms:created>
  <dc:creator>Lenovo</dc:creator>
  <cp:lastModifiedBy>  陆XIN .</cp:lastModifiedBy>
  <dcterms:modified xsi:type="dcterms:W3CDTF">2026-10-28T07:00:57Z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eyJoZGlkIjoiMzk2M2IxZGFhYTgwMGIwODA3ZTYxYWViYjk5YzAyYWYiLCJ1c2VySWQiOiIzNzk0ODE4NjMifQ==</vt:lpwstr>
  </property>
  <property fmtid="{D5CDD505-2E9C-101B-9397-08002B2CF9AE}" pid="4" name="ICV">
    <vt:lpwstr>CA0FD9511F354AA088E4BB632E321852_12</vt:lpwstr>
  </property>
</Properties>
</file>